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50" w:rsidRDefault="0006506D">
      <w:pPr>
        <w:spacing w:after="546"/>
      </w:pPr>
      <w:r>
        <w:rPr>
          <w:rFonts w:ascii="Arial" w:eastAsia="Arial" w:hAnsi="Arial" w:cs="Arial"/>
        </w:rPr>
        <w:t xml:space="preserve"> </w:t>
      </w:r>
    </w:p>
    <w:p w:rsidR="00CA7650" w:rsidRDefault="0006506D">
      <w:pPr>
        <w:tabs>
          <w:tab w:val="center" w:pos="5385"/>
          <w:tab w:val="center" w:pos="7981"/>
        </w:tabs>
        <w:spacing w:after="220"/>
      </w:pPr>
      <w:r>
        <w:tab/>
      </w:r>
      <w:r>
        <w:rPr>
          <w:rFonts w:ascii="Times New Roman" w:eastAsia="Times New Roman" w:hAnsi="Times New Roman" w:cs="Times New Roman"/>
          <w:color w:val="2F5496"/>
          <w:sz w:val="34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34"/>
        </w:rPr>
        <w:t>SDP Teacher Residency Program’s</w:t>
      </w:r>
      <w:r>
        <w:rPr>
          <w:color w:val="2F5496"/>
          <w:sz w:val="34"/>
        </w:rPr>
        <w:t>​</w:t>
      </w:r>
      <w:r>
        <w:rPr>
          <w:color w:val="2F5496"/>
          <w:sz w:val="34"/>
        </w:rPr>
        <w:tab/>
      </w:r>
      <w:r>
        <w:rPr>
          <w:rFonts w:ascii="Times New Roman" w:eastAsia="Times New Roman" w:hAnsi="Times New Roman" w:cs="Times New Roman"/>
          <w:b/>
          <w:color w:val="2F5496"/>
          <w:sz w:val="34"/>
        </w:rPr>
        <w:t xml:space="preserve"> </w:t>
      </w:r>
    </w:p>
    <w:p w:rsidR="00CA7650" w:rsidRDefault="0006506D">
      <w:pPr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34"/>
        </w:rPr>
        <w:t xml:space="preserve">Praxis Preparation and Testing Information </w:t>
      </w:r>
    </w:p>
    <w:p w:rsidR="00CA7650" w:rsidRDefault="0006506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650" w:rsidRDefault="0006506D">
      <w:pPr>
        <w:spacing w:after="263" w:line="36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 order to be accepted into SDP’s Teacher Residency Program, candidates must pass the Praxis content exam required for certification. 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Use the charts below to determine </w:t>
      </w:r>
      <w:proofErr w:type="gramStart"/>
      <w:r>
        <w:rPr>
          <w:rFonts w:ascii="Times New Roman" w:eastAsia="Times New Roman" w:hAnsi="Times New Roman" w:cs="Times New Roman"/>
          <w:sz w:val="24"/>
        </w:rPr>
        <w:t>which  Praxis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content exam you should take. 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i/>
          <w:sz w:val="24"/>
        </w:rPr>
        <w:t xml:space="preserve">To learn more about SDP’s Teacher Residency Program, please email </w:t>
      </w:r>
      <w:r>
        <w:rPr>
          <w:sz w:val="25"/>
          <w:u w:val="single" w:color="1155CC"/>
        </w:rPr>
        <w:t>​</w:t>
      </w:r>
      <w:r>
        <w:rPr>
          <w:rFonts w:ascii="Times New Roman" w:eastAsia="Times New Roman" w:hAnsi="Times New Roman" w:cs="Times New Roman"/>
          <w:i/>
          <w:color w:val="1155CC"/>
          <w:sz w:val="24"/>
          <w:u w:val="single" w:color="1155CC"/>
        </w:rPr>
        <w:t>teacherresidency@philasd.org</w:t>
      </w:r>
      <w:r>
        <w:rPr>
          <w:color w:val="1155CC"/>
          <w:sz w:val="25"/>
        </w:rPr>
        <w:t>​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650" w:rsidRDefault="0006506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MIDDLE GRADES (4 – 8) </w:t>
      </w:r>
    </w:p>
    <w:tbl>
      <w:tblPr>
        <w:tblStyle w:val="TableGrid"/>
        <w:tblW w:w="10140" w:type="dxa"/>
        <w:tblInd w:w="6" w:type="dxa"/>
        <w:tblCellMar>
          <w:top w:w="156" w:type="dxa"/>
          <w:left w:w="9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87"/>
        <w:gridCol w:w="4095"/>
        <w:gridCol w:w="1230"/>
        <w:gridCol w:w="1575"/>
        <w:gridCol w:w="853"/>
      </w:tblGrid>
      <w:tr w:rsidR="00CA7650">
        <w:trPr>
          <w:trHeight w:val="450"/>
        </w:trPr>
        <w:tc>
          <w:tcPr>
            <w:tcW w:w="2387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To Be Certified in </w:t>
            </w:r>
          </w:p>
        </w:tc>
        <w:tc>
          <w:tcPr>
            <w:tcW w:w="409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You Need to Take </w:t>
            </w:r>
          </w:p>
        </w:tc>
        <w:tc>
          <w:tcPr>
            <w:tcW w:w="123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Test Code </w:t>
            </w:r>
          </w:p>
        </w:tc>
        <w:tc>
          <w:tcPr>
            <w:tcW w:w="1575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Qualifying Score </w:t>
            </w:r>
          </w:p>
        </w:tc>
        <w:tc>
          <w:tcPr>
            <w:tcW w:w="853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Cost </w:t>
            </w:r>
          </w:p>
        </w:tc>
      </w:tr>
      <w:tr w:rsidR="00CA7650">
        <w:trPr>
          <w:trHeight w:val="825"/>
        </w:trPr>
        <w:tc>
          <w:tcPr>
            <w:tcW w:w="2387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2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Middle Grades English </w:t>
            </w:r>
          </w:p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4–8 </w:t>
            </w:r>
          </w:p>
        </w:tc>
        <w:tc>
          <w:tcPr>
            <w:tcW w:w="409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25"/>
            </w:pPr>
            <w:hyperlink r:id="rId4">
              <w:r>
                <w:rPr>
                  <w:rFonts w:ascii="Times New Roman" w:eastAsia="Times New Roman" w:hAnsi="Times New Roman" w:cs="Times New Roman"/>
                  <w:color w:val="2D69AC"/>
                </w:rPr>
                <w:t>Subject Concentration: English Language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  <w:p w:rsidR="00CA7650" w:rsidRDefault="0006506D">
            <w:pPr>
              <w:spacing w:after="0"/>
            </w:pPr>
            <w:hyperlink r:id="rId6">
              <w:r>
                <w:rPr>
                  <w:rFonts w:ascii="Times New Roman" w:eastAsia="Times New Roman" w:hAnsi="Times New Roman" w:cs="Times New Roman"/>
                  <w:color w:val="2D69AC"/>
                </w:rPr>
                <w:t>Arts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30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5156 </w:t>
            </w:r>
          </w:p>
        </w:tc>
        <w:tc>
          <w:tcPr>
            <w:tcW w:w="157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156 </w:t>
            </w:r>
          </w:p>
        </w:tc>
        <w:tc>
          <w:tcPr>
            <w:tcW w:w="853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$75 </w:t>
            </w:r>
          </w:p>
        </w:tc>
      </w:tr>
      <w:tr w:rsidR="00CA7650">
        <w:trPr>
          <w:trHeight w:val="825"/>
        </w:trPr>
        <w:tc>
          <w:tcPr>
            <w:tcW w:w="238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Middle Grades </w:t>
            </w:r>
          </w:p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Mathematics 4–8 </w:t>
            </w:r>
          </w:p>
        </w:tc>
        <w:tc>
          <w:tcPr>
            <w:tcW w:w="409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76"/>
            </w:pPr>
            <w:hyperlink r:id="rId8">
              <w:r>
                <w:rPr>
                  <w:rFonts w:ascii="Times New Roman" w:eastAsia="Times New Roman" w:hAnsi="Times New Roman" w:cs="Times New Roman"/>
                  <w:color w:val="2D69AC"/>
                </w:rPr>
                <w:t>Subject Concentration: Mathematics</w:t>
              </w:r>
            </w:hyperlink>
            <w:r>
              <w:rPr>
                <w:rFonts w:ascii="Times New Roman" w:eastAsia="Times New Roman" w:hAnsi="Times New Roman" w:cs="Times New Roman"/>
                <w:color w:val="151515"/>
              </w:rPr>
              <w:t xml:space="preserve"> </w:t>
            </w:r>
          </w:p>
          <w:p w:rsidR="00CA7650" w:rsidRDefault="0006506D">
            <w:pPr>
              <w:tabs>
                <w:tab w:val="center" w:pos="17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</w:rPr>
              <w:t>(</w:t>
            </w:r>
            <w:hyperlink r:id="rId9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Calculator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D69AC"/>
                </w:rPr>
                <w:t>allowe</w:t>
              </w:r>
              <w:proofErr w:type="spellEnd"/>
            </w:hyperlink>
            <w:r>
              <w:rPr>
                <w:color w:val="151515"/>
              </w:rPr>
              <w:t>​</w:t>
            </w:r>
            <w:r>
              <w:rPr>
                <w:color w:val="151515"/>
              </w:rPr>
              <w:tab/>
            </w:r>
            <w:hyperlink r:id="rId10">
              <w:r>
                <w:rPr>
                  <w:rFonts w:ascii="Times New Roman" w:eastAsia="Times New Roman" w:hAnsi="Times New Roman" w:cs="Times New Roman"/>
                  <w:color w:val="2D69AC"/>
                </w:rPr>
                <w:t>d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51515"/>
                </w:rPr>
                <w:t>.</w:t>
              </w:r>
            </w:hyperlink>
            <w:r>
              <w:rPr>
                <w:color w:val="2D69AC"/>
              </w:rPr>
              <w:t>​</w:t>
            </w:r>
            <w:r>
              <w:rPr>
                <w:color w:val="2D69A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</w:rPr>
              <w:t xml:space="preserve">) </w:t>
            </w:r>
          </w:p>
        </w:tc>
        <w:tc>
          <w:tcPr>
            <w:tcW w:w="12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5158 </w:t>
            </w:r>
          </w:p>
        </w:tc>
        <w:tc>
          <w:tcPr>
            <w:tcW w:w="15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173 </w:t>
            </w:r>
          </w:p>
        </w:tc>
        <w:tc>
          <w:tcPr>
            <w:tcW w:w="85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$75 </w:t>
            </w:r>
          </w:p>
        </w:tc>
      </w:tr>
      <w:tr w:rsidR="00CA7650">
        <w:trPr>
          <w:trHeight w:val="825"/>
        </w:trPr>
        <w:tc>
          <w:tcPr>
            <w:tcW w:w="2387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25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Middle Grades Science </w:t>
            </w:r>
          </w:p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4–8 </w:t>
            </w:r>
          </w:p>
        </w:tc>
        <w:tc>
          <w:tcPr>
            <w:tcW w:w="409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76"/>
            </w:pPr>
            <w:hyperlink r:id="rId12">
              <w:r>
                <w:rPr>
                  <w:rFonts w:ascii="Times New Roman" w:eastAsia="Times New Roman" w:hAnsi="Times New Roman" w:cs="Times New Roman"/>
                  <w:color w:val="2D69AC"/>
                </w:rPr>
                <w:t>Subject Concentration: Science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  <w:p w:rsidR="00CA7650" w:rsidRDefault="0006506D">
            <w:pPr>
              <w:tabs>
                <w:tab w:val="center" w:pos="174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</w:rPr>
              <w:t>(</w:t>
            </w:r>
            <w:hyperlink r:id="rId14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Calculator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2D69AC"/>
                </w:rPr>
                <w:t>allowe</w:t>
              </w:r>
              <w:proofErr w:type="spellEnd"/>
            </w:hyperlink>
            <w:r>
              <w:rPr>
                <w:color w:val="151515"/>
              </w:rPr>
              <w:t>​</w:t>
            </w:r>
            <w:r>
              <w:rPr>
                <w:color w:val="151515"/>
              </w:rPr>
              <w:tab/>
            </w:r>
            <w:hyperlink r:id="rId15">
              <w:r>
                <w:rPr>
                  <w:rFonts w:ascii="Times New Roman" w:eastAsia="Times New Roman" w:hAnsi="Times New Roman" w:cs="Times New Roman"/>
                  <w:color w:val="2D69AC"/>
                </w:rPr>
                <w:t>d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51515"/>
                </w:rPr>
                <w:t>.</w:t>
              </w:r>
            </w:hyperlink>
            <w:r>
              <w:rPr>
                <w:color w:val="2D69AC"/>
              </w:rPr>
              <w:t>​</w:t>
            </w:r>
            <w:r>
              <w:rPr>
                <w:color w:val="2D69A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</w:rPr>
              <w:t xml:space="preserve">) </w:t>
            </w:r>
          </w:p>
        </w:tc>
        <w:tc>
          <w:tcPr>
            <w:tcW w:w="12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5159 </w:t>
            </w:r>
          </w:p>
        </w:tc>
        <w:tc>
          <w:tcPr>
            <w:tcW w:w="15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156 </w:t>
            </w:r>
          </w:p>
        </w:tc>
        <w:tc>
          <w:tcPr>
            <w:tcW w:w="85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$75 </w:t>
            </w:r>
          </w:p>
        </w:tc>
      </w:tr>
    </w:tbl>
    <w:p w:rsidR="00CA7650" w:rsidRDefault="0006506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SECONDARY GRADES (7 - 12) </w:t>
      </w:r>
    </w:p>
    <w:tbl>
      <w:tblPr>
        <w:tblStyle w:val="TableGrid"/>
        <w:tblW w:w="10230" w:type="dxa"/>
        <w:tblInd w:w="6" w:type="dxa"/>
        <w:tblCellMar>
          <w:top w:w="156" w:type="dxa"/>
          <w:left w:w="9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92"/>
        <w:gridCol w:w="3975"/>
        <w:gridCol w:w="1260"/>
        <w:gridCol w:w="1560"/>
        <w:gridCol w:w="943"/>
      </w:tblGrid>
      <w:tr w:rsidR="00CA7650">
        <w:trPr>
          <w:trHeight w:val="450"/>
        </w:trPr>
        <w:tc>
          <w:tcPr>
            <w:tcW w:w="6467" w:type="dxa"/>
            <w:gridSpan w:val="2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tabs>
                <w:tab w:val="center" w:pos="3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To Be Certified in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You Need to Take </w:t>
            </w:r>
          </w:p>
        </w:tc>
        <w:tc>
          <w:tcPr>
            <w:tcW w:w="126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Test Code </w:t>
            </w:r>
          </w:p>
        </w:tc>
        <w:tc>
          <w:tcPr>
            <w:tcW w:w="1560" w:type="dxa"/>
            <w:tcBorders>
              <w:top w:val="single" w:sz="6" w:space="0" w:color="4472C4"/>
              <w:left w:val="nil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Qualifying Score </w:t>
            </w:r>
          </w:p>
        </w:tc>
        <w:tc>
          <w:tcPr>
            <w:tcW w:w="943" w:type="dxa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Cost </w:t>
            </w:r>
          </w:p>
        </w:tc>
      </w:tr>
      <w:tr w:rsidR="00CA7650">
        <w:trPr>
          <w:trHeight w:val="525"/>
        </w:trPr>
        <w:tc>
          <w:tcPr>
            <w:tcW w:w="2492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Biology 7–12 </w:t>
            </w:r>
          </w:p>
        </w:tc>
        <w:tc>
          <w:tcPr>
            <w:tcW w:w="397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hyperlink r:id="rId17">
              <w:r>
                <w:rPr>
                  <w:rFonts w:ascii="Times New Roman" w:eastAsia="Times New Roman" w:hAnsi="Times New Roman" w:cs="Times New Roman"/>
                  <w:color w:val="2D69AC"/>
                </w:rPr>
                <w:t>Biology: Content Knowledge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5235 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147 </w:t>
            </w:r>
          </w:p>
        </w:tc>
        <w:tc>
          <w:tcPr>
            <w:tcW w:w="943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527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Chemistry 7–12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hyperlink r:id="rId19">
              <w:r>
                <w:rPr>
                  <w:rFonts w:ascii="Times New Roman" w:eastAsia="Times New Roman" w:hAnsi="Times New Roman" w:cs="Times New Roman"/>
                  <w:color w:val="2D69AC"/>
                </w:rPr>
                <w:t>Chemistry: Content Knowledge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5245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154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823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Earth and Space </w:t>
            </w:r>
          </w:p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Science 7–12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25"/>
            </w:pPr>
            <w:hyperlink r:id="rId21">
              <w:r>
                <w:rPr>
                  <w:rFonts w:ascii="Times New Roman" w:eastAsia="Times New Roman" w:hAnsi="Times New Roman" w:cs="Times New Roman"/>
                  <w:color w:val="2D69AC"/>
                </w:rPr>
                <w:t>Earth and Space Sciences: Content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  <w:p w:rsidR="00CA7650" w:rsidRDefault="0006506D">
            <w:pPr>
              <w:spacing w:after="0"/>
            </w:pPr>
            <w:hyperlink r:id="rId23">
              <w:r>
                <w:rPr>
                  <w:rFonts w:ascii="Times New Roman" w:eastAsia="Times New Roman" w:hAnsi="Times New Roman" w:cs="Times New Roman"/>
                  <w:color w:val="2D69AC"/>
                </w:rPr>
                <w:t>Knowledge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5571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157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825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English 7–12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25"/>
            </w:pPr>
            <w:hyperlink r:id="rId25">
              <w:r>
                <w:rPr>
                  <w:rFonts w:ascii="Times New Roman" w:eastAsia="Times New Roman" w:hAnsi="Times New Roman" w:cs="Times New Roman"/>
                  <w:color w:val="2D69AC"/>
                </w:rPr>
                <w:t>English Language Arts: Content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  <w:p w:rsidR="00CA7650" w:rsidRDefault="0006506D">
            <w:pPr>
              <w:spacing w:after="0"/>
            </w:pPr>
            <w:hyperlink r:id="rId27">
              <w:r>
                <w:rPr>
                  <w:rFonts w:ascii="Times New Roman" w:eastAsia="Times New Roman" w:hAnsi="Times New Roman" w:cs="Times New Roman"/>
                  <w:color w:val="2D69AC"/>
                </w:rPr>
                <w:t>Knowledge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5038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167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525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>General Science 7–12</w:t>
            </w: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hyperlink r:id="rId29">
              <w:r>
                <w:rPr>
                  <w:rFonts w:ascii="Times New Roman" w:eastAsia="Times New Roman" w:hAnsi="Times New Roman" w:cs="Times New Roman"/>
                  <w:color w:val="2D69AC"/>
                </w:rPr>
                <w:t>General Science: Content Knowledge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5435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146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825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Mathematics 7–12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hyperlink r:id="rId31">
              <w:r>
                <w:rPr>
                  <w:rFonts w:ascii="Times New Roman" w:eastAsia="Times New Roman" w:hAnsi="Times New Roman" w:cs="Times New Roman"/>
                  <w:color w:val="2D69AC"/>
                </w:rPr>
                <w:t>Mathematics: Content Knowledge</w:t>
              </w:r>
            </w:hyperlink>
            <w:r>
              <w:rPr>
                <w:color w:val="2D69AC"/>
              </w:rPr>
              <w:t>​</w:t>
            </w:r>
            <w:r>
              <w:rPr>
                <w:rFonts w:ascii="Times New Roman" w:eastAsia="Times New Roman" w:hAnsi="Times New Roman" w:cs="Times New Roman"/>
                <w:color w:val="151515"/>
              </w:rPr>
              <w:t xml:space="preserve"> (</w:t>
            </w:r>
            <w:r>
              <w:rPr>
                <w:color w:val="151515"/>
              </w:rPr>
              <w:t>​</w:t>
            </w:r>
            <w:hyperlink r:id="rId32">
              <w:r>
                <w:rPr>
                  <w:rFonts w:ascii="Times New Roman" w:eastAsia="Times New Roman" w:hAnsi="Times New Roman" w:cs="Times New Roman"/>
                  <w:color w:val="2D69AC"/>
                </w:rPr>
                <w:t>Online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2D69AC"/>
                </w:rPr>
                <w:t>graphing calculator provided</w:t>
              </w:r>
            </w:hyperlink>
            <w:r>
              <w:rPr>
                <w:color w:val="2D69AC"/>
              </w:rPr>
              <w:t>​</w:t>
            </w:r>
            <w:r>
              <w:rPr>
                <w:rFonts w:ascii="Times New Roman" w:eastAsia="Times New Roman" w:hAnsi="Times New Roman" w:cs="Times New Roman"/>
                <w:color w:val="151515"/>
              </w:rPr>
              <w:t xml:space="preserve">.) </w:t>
            </w:r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5161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160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527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Physics 7–12 </w:t>
            </w:r>
          </w:p>
        </w:tc>
        <w:tc>
          <w:tcPr>
            <w:tcW w:w="39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hyperlink r:id="rId35">
              <w:r>
                <w:rPr>
                  <w:rFonts w:ascii="Times New Roman" w:eastAsia="Times New Roman" w:hAnsi="Times New Roman" w:cs="Times New Roman"/>
                  <w:color w:val="2D69AC"/>
                </w:rPr>
                <w:t>Physics: Content Knowledge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 </w:t>
              </w:r>
            </w:hyperlink>
          </w:p>
        </w:tc>
        <w:tc>
          <w:tcPr>
            <w:tcW w:w="12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5265 </w:t>
            </w:r>
          </w:p>
        </w:tc>
        <w:tc>
          <w:tcPr>
            <w:tcW w:w="156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140 </w:t>
            </w:r>
          </w:p>
        </w:tc>
        <w:tc>
          <w:tcPr>
            <w:tcW w:w="94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</w:tbl>
    <w:p w:rsidR="00CA7650" w:rsidRDefault="0006506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MIDDLE GRADES (4 – 8) or SECONDARY (7-12) </w:t>
      </w:r>
    </w:p>
    <w:tbl>
      <w:tblPr>
        <w:tblStyle w:val="TableGrid"/>
        <w:tblW w:w="10230" w:type="dxa"/>
        <w:tblInd w:w="6" w:type="dxa"/>
        <w:tblCellMar>
          <w:top w:w="0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2"/>
        <w:gridCol w:w="3975"/>
        <w:gridCol w:w="1260"/>
        <w:gridCol w:w="1560"/>
        <w:gridCol w:w="943"/>
      </w:tblGrid>
      <w:tr w:rsidR="00CA7650">
        <w:trPr>
          <w:trHeight w:val="450"/>
        </w:trPr>
        <w:tc>
          <w:tcPr>
            <w:tcW w:w="2492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To Be Certified in </w:t>
            </w:r>
          </w:p>
        </w:tc>
        <w:tc>
          <w:tcPr>
            <w:tcW w:w="7738" w:type="dxa"/>
            <w:gridSpan w:val="4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:rsidR="00CA7650" w:rsidRDefault="0006506D">
            <w:pPr>
              <w:tabs>
                <w:tab w:val="center" w:pos="4319"/>
                <w:tab w:val="center" w:pos="5810"/>
                <w:tab w:val="center" w:pos="695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You Need to Take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Test Code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Qualifying Score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Cost </w:t>
            </w:r>
          </w:p>
        </w:tc>
      </w:tr>
      <w:tr w:rsidR="00CA7650">
        <w:trPr>
          <w:trHeight w:val="525"/>
        </w:trPr>
        <w:tc>
          <w:tcPr>
            <w:tcW w:w="2492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lastRenderedPageBreak/>
              <w:t xml:space="preserve">Spanish PK-12 </w:t>
            </w:r>
          </w:p>
        </w:tc>
        <w:tc>
          <w:tcPr>
            <w:tcW w:w="397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hyperlink r:id="rId37">
              <w:r>
                <w:rPr>
                  <w:rFonts w:ascii="Times New Roman" w:eastAsia="Times New Roman" w:hAnsi="Times New Roman" w:cs="Times New Roman"/>
                  <w:color w:val="2D69AC"/>
                </w:rPr>
                <w:t xml:space="preserve">Spanish: World Languages </w:t>
              </w:r>
            </w:hyperlink>
            <w:r>
              <w:rPr>
                <w:color w:val="2D69AC"/>
              </w:rPr>
              <w:t>​</w:t>
            </w:r>
            <w:r>
              <w:rPr>
                <w:color w:val="2D69A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69AC"/>
              </w:rPr>
              <w:t xml:space="preserve">(or ACTFL) </w:t>
            </w:r>
          </w:p>
        </w:tc>
        <w:tc>
          <w:tcPr>
            <w:tcW w:w="1260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5195 </w:t>
            </w:r>
          </w:p>
        </w:tc>
        <w:tc>
          <w:tcPr>
            <w:tcW w:w="1560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168 </w:t>
            </w:r>
          </w:p>
        </w:tc>
        <w:tc>
          <w:tcPr>
            <w:tcW w:w="943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  <w:tr w:rsidR="00CA7650">
        <w:trPr>
          <w:trHeight w:val="827"/>
        </w:trPr>
        <w:tc>
          <w:tcPr>
            <w:tcW w:w="249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Special Education </w:t>
            </w:r>
          </w:p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PK-12</w:t>
            </w:r>
            <w:r>
              <w:rPr>
                <w:rFonts w:ascii="Times New Roman" w:eastAsia="Times New Roman" w:hAnsi="Times New Roman" w:cs="Times New Roman"/>
                <w:b/>
                <w:color w:val="151515"/>
              </w:rPr>
              <w:t xml:space="preserve"> </w:t>
            </w:r>
          </w:p>
        </w:tc>
        <w:tc>
          <w:tcPr>
            <w:tcW w:w="7738" w:type="dxa"/>
            <w:gridSpan w:val="4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2D69AC"/>
              </w:rPr>
              <w:t xml:space="preserve">Please contact Temple’s Residency Team for guidance on Praxis exam options for </w:t>
            </w:r>
            <w:r>
              <w:rPr>
                <w:rFonts w:ascii="Times New Roman" w:eastAsia="Times New Roman" w:hAnsi="Times New Roman" w:cs="Times New Roman"/>
                <w:i/>
                <w:color w:val="2D69AC"/>
              </w:rPr>
              <w:t xml:space="preserve">the Special Education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D69AC"/>
              </w:rPr>
              <w:t>pathway:</w:t>
            </w:r>
            <w:r>
              <w:rPr>
                <w:color w:val="2D69AC"/>
                <w:sz w:val="23"/>
              </w:rPr>
              <w:t>​</w:t>
            </w:r>
            <w:proofErr w:type="gramEnd"/>
            <w:r>
              <w:rPr>
                <w:rFonts w:ascii="Times New Roman" w:eastAsia="Times New Roman" w:hAnsi="Times New Roman" w:cs="Times New Roman"/>
                <w:color w:val="2D69AC"/>
              </w:rPr>
              <w:t xml:space="preserve"> </w:t>
            </w:r>
            <w:r>
              <w:rPr>
                <w:color w:val="2D69AC"/>
                <w:u w:val="single" w:color="1155CC"/>
              </w:rPr>
              <w:t>​</w:t>
            </w:r>
            <w:r>
              <w:rPr>
                <w:rFonts w:ascii="Times New Roman" w:eastAsia="Times New Roman" w:hAnsi="Times New Roman" w:cs="Times New Roman"/>
                <w:color w:val="1155CC"/>
                <w:u w:val="single" w:color="1155CC"/>
              </w:rPr>
              <w:t>templetr@temple.edu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 </w:t>
            </w:r>
          </w:p>
        </w:tc>
      </w:tr>
    </w:tbl>
    <w:p w:rsidR="00CA7650" w:rsidRDefault="0006506D">
      <w:pPr>
        <w:spacing w:after="270"/>
        <w:ind w:right="65"/>
        <w:jc w:val="right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Please keep reading for additional information and resources &gt;&gt;&gt; </w:t>
      </w:r>
    </w:p>
    <w:p w:rsidR="00CA7650" w:rsidRDefault="0006506D">
      <w:pPr>
        <w:spacing w:after="0"/>
        <w:jc w:val="right"/>
      </w:pP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 </w:t>
      </w:r>
    </w:p>
    <w:p w:rsidR="00CA7650" w:rsidRDefault="0006506D">
      <w:pPr>
        <w:spacing w:after="294"/>
        <w:ind w:left="25"/>
        <w:jc w:val="center"/>
      </w:pPr>
      <w:r>
        <w:rPr>
          <w:noProof/>
        </w:rPr>
        <w:drawing>
          <wp:inline distT="0" distB="0" distL="0" distR="0">
            <wp:extent cx="2676525" cy="542925"/>
            <wp:effectExtent l="0" t="0" r="0" b="0"/>
            <wp:docPr id="622" name="Picture 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Picture 62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7650" w:rsidRDefault="0006506D">
      <w:pPr>
        <w:pStyle w:val="Heading1"/>
        <w:tabs>
          <w:tab w:val="center" w:pos="5390"/>
          <w:tab w:val="center" w:pos="9760"/>
        </w:tabs>
        <w:spacing w:after="40"/>
        <w:ind w:left="0" w:righ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b w:val="0"/>
        </w:rPr>
        <w:t xml:space="preserve"> </w:t>
      </w:r>
      <w:r>
        <w:t>Praxis Preparation and Testing Information (continued)</w:t>
      </w:r>
      <w:r>
        <w:rPr>
          <w:rFonts w:ascii="Calibri" w:eastAsia="Calibri" w:hAnsi="Calibri" w:cs="Calibri"/>
          <w:b w:val="0"/>
        </w:rPr>
        <w:t>​</w:t>
      </w:r>
      <w:r>
        <w:rPr>
          <w:rFonts w:ascii="Calibri" w:eastAsia="Calibri" w:hAnsi="Calibri" w:cs="Calibri"/>
          <w:b w:val="0"/>
        </w:rPr>
        <w:tab/>
      </w:r>
      <w:r>
        <w:rPr>
          <w:color w:val="000000"/>
          <w:sz w:val="24"/>
        </w:rPr>
        <w:t xml:space="preserve"> </w:t>
      </w:r>
    </w:p>
    <w:p w:rsidR="00CA7650" w:rsidRDefault="0006506D">
      <w:pPr>
        <w:spacing w:after="100"/>
        <w:ind w:right="2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A7650" w:rsidRDefault="0006506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If you plan to become a middle grades or Spanish language teacher, you will need to take an additional Praxis core exam to earn your teaching certification. </w:t>
      </w:r>
      <w:r>
        <w:rPr>
          <w:rFonts w:ascii="Times New Roman" w:eastAsia="Times New Roman" w:hAnsi="Times New Roman" w:cs="Times New Roman"/>
          <w:sz w:val="24"/>
        </w:rPr>
        <w:t>You can wait to take the required core exam until after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you have been accepted into the Teacher R</w:t>
      </w:r>
      <w:r>
        <w:rPr>
          <w:rFonts w:ascii="Times New Roman" w:eastAsia="Times New Roman" w:hAnsi="Times New Roman" w:cs="Times New Roman"/>
          <w:sz w:val="24"/>
        </w:rPr>
        <w:t>esidency Program.</w:t>
      </w:r>
      <w:r>
        <w:rPr>
          <w:rFonts w:ascii="Times New Roman" w:eastAsia="Times New Roman" w:hAnsi="Times New Roman" w:cs="Times New Roman"/>
          <w:color w:val="5A5A5A"/>
          <w:sz w:val="20"/>
        </w:rPr>
        <w:t xml:space="preserve"> </w:t>
      </w:r>
    </w:p>
    <w:tbl>
      <w:tblPr>
        <w:tblStyle w:val="TableGrid"/>
        <w:tblW w:w="10245" w:type="dxa"/>
        <w:tblInd w:w="6" w:type="dxa"/>
        <w:tblCellMar>
          <w:top w:w="156" w:type="dxa"/>
          <w:left w:w="9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1740"/>
        <w:gridCol w:w="4712"/>
        <w:gridCol w:w="1275"/>
        <w:gridCol w:w="1545"/>
        <w:gridCol w:w="973"/>
      </w:tblGrid>
      <w:tr w:rsidR="00CA7650">
        <w:trPr>
          <w:trHeight w:val="450"/>
        </w:trPr>
        <w:tc>
          <w:tcPr>
            <w:tcW w:w="1740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nil"/>
            </w:tcBorders>
            <w:shd w:val="clear" w:color="auto" w:fill="4472C4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To Be Certified in </w:t>
            </w:r>
          </w:p>
        </w:tc>
        <w:tc>
          <w:tcPr>
            <w:tcW w:w="8505" w:type="dxa"/>
            <w:gridSpan w:val="4"/>
            <w:tcBorders>
              <w:top w:val="single" w:sz="6" w:space="0" w:color="4472C4"/>
              <w:left w:val="nil"/>
              <w:bottom w:val="single" w:sz="6" w:space="0" w:color="4472C4"/>
              <w:right w:val="single" w:sz="6" w:space="0" w:color="4472C4"/>
            </w:tcBorders>
            <w:shd w:val="clear" w:color="auto" w:fill="4472C4"/>
            <w:vAlign w:val="center"/>
          </w:tcPr>
          <w:p w:rsidR="00CA7650" w:rsidRDefault="0006506D">
            <w:pPr>
              <w:tabs>
                <w:tab w:val="center" w:pos="5056"/>
                <w:tab w:val="center" w:pos="6562"/>
                <w:tab w:val="center" w:pos="76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 xml:space="preserve">You Need to Take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Test Code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Qualifying Score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</w:rPr>
              <w:tab/>
              <w:t xml:space="preserve">Cost </w:t>
            </w:r>
          </w:p>
        </w:tc>
      </w:tr>
      <w:tr w:rsidR="00CA7650">
        <w:trPr>
          <w:trHeight w:val="765"/>
        </w:trPr>
        <w:tc>
          <w:tcPr>
            <w:tcW w:w="1740" w:type="dxa"/>
            <w:vMerge w:val="restart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</w:rPr>
              <w:t xml:space="preserve">Middle Level 4–8 </w:t>
            </w:r>
          </w:p>
        </w:tc>
        <w:tc>
          <w:tcPr>
            <w:tcW w:w="4712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hyperlink r:id="rId39">
              <w:r>
                <w:rPr>
                  <w:rFonts w:ascii="Times New Roman" w:eastAsia="Times New Roman" w:hAnsi="Times New Roman" w:cs="Times New Roman"/>
                  <w:color w:val="2D69AC"/>
                  <w:sz w:val="20"/>
                </w:rPr>
                <w:t>Pennsylvania Grades 4–8 Core Assessment</w:t>
              </w:r>
            </w:hyperlink>
            <w:r>
              <w:rPr>
                <w:color w:val="2D69AC"/>
                <w:sz w:val="20"/>
              </w:rPr>
              <w:t>​</w:t>
            </w:r>
            <w:hyperlink r:id="rId40">
              <w:r>
                <w:rPr>
                  <w:rFonts w:ascii="Times New Roman" w:eastAsia="Times New Roman" w:hAnsi="Times New Roman" w:cs="Times New Roman"/>
                  <w:color w:val="151515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(</w:t>
            </w:r>
            <w:r>
              <w:rPr>
                <w:color w:val="151515"/>
                <w:sz w:val="20"/>
              </w:rPr>
              <w:t>​</w:t>
            </w:r>
            <w:hyperlink r:id="rId41">
              <w:r>
                <w:rPr>
                  <w:rFonts w:ascii="Times New Roman" w:eastAsia="Times New Roman" w:hAnsi="Times New Roman" w:cs="Times New Roman"/>
                  <w:color w:val="2D69AC"/>
                  <w:sz w:val="20"/>
                </w:rPr>
                <w:t>Calculator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2D69AC"/>
                  <w:sz w:val="20"/>
                </w:rPr>
                <w:t xml:space="preserve"> </w:t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color w:val="2D69AC"/>
                  <w:sz w:val="20"/>
                </w:rPr>
                <w:t>allowed</w:t>
              </w:r>
            </w:hyperlink>
            <w:r>
              <w:rPr>
                <w:color w:val="2D69AC"/>
                <w:sz w:val="20"/>
              </w:rPr>
              <w:t>​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.) </w:t>
            </w:r>
          </w:p>
        </w:tc>
        <w:tc>
          <w:tcPr>
            <w:tcW w:w="127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5152 </w:t>
            </w:r>
          </w:p>
        </w:tc>
        <w:tc>
          <w:tcPr>
            <w:tcW w:w="1545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See subtest scores below </w:t>
            </w:r>
          </w:p>
        </w:tc>
        <w:tc>
          <w:tcPr>
            <w:tcW w:w="973" w:type="dxa"/>
            <w:tcBorders>
              <w:top w:val="single" w:sz="6" w:space="0" w:color="4472C4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$140 </w:t>
            </w:r>
          </w:p>
        </w:tc>
      </w:tr>
      <w:tr w:rsidR="00CA765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</w:tcPr>
          <w:p w:rsidR="00CA7650" w:rsidRDefault="00CA7650"/>
        </w:tc>
        <w:tc>
          <w:tcPr>
            <w:tcW w:w="8505" w:type="dxa"/>
            <w:gridSpan w:val="4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BE4D5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If you wish to take or retake an individual subtest, you may register to take just that subtest. </w:t>
            </w:r>
          </w:p>
        </w:tc>
      </w:tr>
      <w:tr w:rsidR="00CA765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</w:tcPr>
          <w:p w:rsidR="00CA7650" w:rsidRDefault="00CA7650"/>
        </w:tc>
        <w:tc>
          <w:tcPr>
            <w:tcW w:w="471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Pedagogy Subtest </w:t>
            </w:r>
          </w:p>
        </w:tc>
        <w:tc>
          <w:tcPr>
            <w:tcW w:w="12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5153 </w:t>
            </w:r>
          </w:p>
        </w:tc>
        <w:tc>
          <w:tcPr>
            <w:tcW w:w="154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162 </w:t>
            </w:r>
          </w:p>
        </w:tc>
        <w:tc>
          <w:tcPr>
            <w:tcW w:w="97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$50 </w:t>
            </w:r>
          </w:p>
        </w:tc>
      </w:tr>
      <w:tr w:rsidR="00CA765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9CC2E5"/>
              <w:bottom w:val="nil"/>
              <w:right w:val="single" w:sz="6" w:space="0" w:color="9CC2E5"/>
            </w:tcBorders>
          </w:tcPr>
          <w:p w:rsidR="00CA7650" w:rsidRDefault="00CA7650"/>
        </w:tc>
        <w:tc>
          <w:tcPr>
            <w:tcW w:w="471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English Language Arts and Social Studies Subtest </w:t>
            </w:r>
          </w:p>
        </w:tc>
        <w:tc>
          <w:tcPr>
            <w:tcW w:w="12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5154 </w:t>
            </w:r>
          </w:p>
        </w:tc>
        <w:tc>
          <w:tcPr>
            <w:tcW w:w="154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152 </w:t>
            </w:r>
          </w:p>
        </w:tc>
        <w:tc>
          <w:tcPr>
            <w:tcW w:w="97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$50 </w:t>
            </w:r>
          </w:p>
        </w:tc>
      </w:tr>
      <w:tr w:rsidR="00CA765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</w:tcPr>
          <w:p w:rsidR="00CA7650" w:rsidRDefault="00CA7650"/>
        </w:tc>
        <w:tc>
          <w:tcPr>
            <w:tcW w:w="471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Mathematics and Science Subtest (</w:t>
            </w:r>
            <w:r>
              <w:rPr>
                <w:color w:val="151515"/>
                <w:sz w:val="20"/>
              </w:rPr>
              <w:t>​</w:t>
            </w:r>
            <w:hyperlink r:id="rId44">
              <w:r>
                <w:rPr>
                  <w:rFonts w:ascii="Times New Roman" w:eastAsia="Times New Roman" w:hAnsi="Times New Roman" w:cs="Times New Roman"/>
                  <w:color w:val="2D69AC"/>
                  <w:sz w:val="20"/>
                </w:rPr>
                <w:t>Calculator allowed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151515"/>
                  <w:sz w:val="20"/>
                </w:rPr>
                <w:t>.</w:t>
              </w:r>
            </w:hyperlink>
            <w:r>
              <w:rPr>
                <w:color w:val="2D69AC"/>
                <w:sz w:val="20"/>
              </w:rPr>
              <w:t>​</w:t>
            </w:r>
            <w:r>
              <w:rPr>
                <w:color w:val="2D69AC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5155 </w:t>
            </w:r>
          </w:p>
        </w:tc>
        <w:tc>
          <w:tcPr>
            <w:tcW w:w="154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164 </w:t>
            </w:r>
          </w:p>
        </w:tc>
        <w:tc>
          <w:tcPr>
            <w:tcW w:w="97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$50 </w:t>
            </w:r>
          </w:p>
        </w:tc>
      </w:tr>
      <w:tr w:rsidR="00CA7650">
        <w:trPr>
          <w:trHeight w:val="495"/>
        </w:trPr>
        <w:tc>
          <w:tcPr>
            <w:tcW w:w="174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</w:rPr>
              <w:t xml:space="preserve">Spanish PK-12 </w:t>
            </w:r>
          </w:p>
        </w:tc>
        <w:tc>
          <w:tcPr>
            <w:tcW w:w="4712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  <w:ind w:left="2"/>
            </w:pP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u w:val="single" w:color="1155CC"/>
                </w:rPr>
                <w:t>Fundamental Subjects: Content Knowledge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5511 </w:t>
            </w:r>
          </w:p>
        </w:tc>
        <w:tc>
          <w:tcPr>
            <w:tcW w:w="154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150 </w:t>
            </w:r>
          </w:p>
        </w:tc>
        <w:tc>
          <w:tcPr>
            <w:tcW w:w="973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9E2F3"/>
            <w:vAlign w:val="center"/>
          </w:tcPr>
          <w:p w:rsidR="00CA7650" w:rsidRDefault="0006506D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>$1</w:t>
            </w:r>
            <w:r w:rsidR="00D06195">
              <w:rPr>
                <w:rFonts w:ascii="Times New Roman" w:eastAsia="Times New Roman" w:hAnsi="Times New Roman" w:cs="Times New Roman"/>
                <w:color w:val="151515"/>
                <w:sz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51515"/>
                <w:sz w:val="20"/>
              </w:rPr>
              <w:t xml:space="preserve">0 </w:t>
            </w:r>
          </w:p>
        </w:tc>
      </w:tr>
    </w:tbl>
    <w:p w:rsidR="00CA7650" w:rsidRDefault="0006506D">
      <w:pPr>
        <w:spacing w:after="1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7650" w:rsidRDefault="0006506D">
      <w:pPr>
        <w:spacing w:after="0" w:line="43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 of the above Praxis content exams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sz w:val="24"/>
        </w:rPr>
        <w:t>​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except the Spanish Language exam) </w:t>
      </w:r>
      <w:r>
        <w:rPr>
          <w:rFonts w:ascii="Times New Roman" w:eastAsia="Times New Roman" w:hAnsi="Times New Roman" w:cs="Times New Roman"/>
          <w:b/>
          <w:sz w:val="24"/>
        </w:rPr>
        <w:t>are available to take at home.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Learn more at: </w:t>
      </w:r>
      <w:hyperlink r:id="rId47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 w:color="1155CC"/>
          </w:rPr>
          <w:t>https://www.ets.org/s/cv/praxis/at-home</w:t>
        </w:r>
      </w:hyperlink>
      <w:r>
        <w:rPr>
          <w:sz w:val="24"/>
        </w:rPr>
        <w:t>​</w:t>
      </w:r>
      <w:r>
        <w:rPr>
          <w:sz w:val="24"/>
        </w:rPr>
        <w:tab/>
      </w:r>
      <w:hyperlink r:id="rId48">
        <w:r>
          <w:rPr>
            <w:rFonts w:ascii="Times New Roman" w:eastAsia="Times New Roman" w:hAnsi="Times New Roman" w:cs="Times New Roman"/>
            <w:b/>
            <w:color w:val="1155CC"/>
            <w:sz w:val="24"/>
            <w:u w:val="single" w:color="1155CC"/>
          </w:rPr>
          <w:t>/</w:t>
        </w:r>
      </w:hyperlink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24"/>
        </w:rPr>
        <w:t xml:space="preserve"> </w:t>
      </w:r>
    </w:p>
    <w:p w:rsidR="00CA7650" w:rsidRDefault="0006506D">
      <w:pPr>
        <w:spacing w:after="116"/>
        <w:ind w:left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7650" w:rsidRDefault="0006506D">
      <w:pPr>
        <w:pStyle w:val="Heading1"/>
        <w:ind w:right="90"/>
      </w:pPr>
      <w:r>
        <w:t>Testing Resources and Information</w:t>
      </w:r>
      <w:r>
        <w:rPr>
          <w:b w:val="0"/>
          <w:color w:val="000000"/>
          <w:sz w:val="24"/>
        </w:rPr>
        <w:t xml:space="preserve"> </w:t>
      </w:r>
    </w:p>
    <w:p w:rsidR="00CA7650" w:rsidRDefault="0006506D">
      <w:pPr>
        <w:spacing w:after="0" w:line="353" w:lineRule="auto"/>
        <w:ind w:left="-5" w:right="2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Below are the ETS study resource guides for the ELA, Math, Science and Spanish Praxis exams. These guides </w:t>
      </w:r>
      <w:r>
        <w:rPr>
          <w:rFonts w:ascii="Times New Roman" w:eastAsia="Times New Roman" w:hAnsi="Times New Roman" w:cs="Times New Roman"/>
          <w:sz w:val="24"/>
        </w:rPr>
        <w:t xml:space="preserve">and additional information about accessibility, registration and Praxis resources can be found at </w:t>
      </w:r>
      <w:hyperlink r:id="rId49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www.ets.or</w:t>
        </w:r>
      </w:hyperlink>
      <w:r>
        <w:rPr>
          <w:sz w:val="24"/>
        </w:rPr>
        <w:t>​</w:t>
      </w:r>
      <w:r>
        <w:rPr>
          <w:sz w:val="24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g</w:t>
        </w:r>
      </w:hyperlink>
      <w:hyperlink r:id="rId51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color w:val="1155CC"/>
          <w:sz w:val="24"/>
          <w:u w:val="single" w:color="1155CC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MS Gothic" w:eastAsia="MS Gothic" w:hAnsi="MS Gothic" w:cs="MS Gothic"/>
          <w:sz w:val="24"/>
        </w:rPr>
        <w:t>➢</w:t>
      </w:r>
      <w:r>
        <w:rPr>
          <w:rFonts w:ascii="MS Gothic" w:eastAsia="MS Gothic" w:hAnsi="MS Gothic" w:cs="MS Gothic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Middle Grades  </w:t>
      </w:r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52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ELA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53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Math</w:t>
        </w:r>
      </w:hyperlink>
      <w:hyperlink r:id="rId5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55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Science</w:t>
        </w:r>
      </w:hyperlink>
      <w:hyperlink r:id="rId5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29"/>
        <w:ind w:left="370" w:right="234" w:hanging="10"/>
        <w:jc w:val="both"/>
      </w:pPr>
      <w:r>
        <w:rPr>
          <w:rFonts w:ascii="MS Gothic" w:eastAsia="MS Gothic" w:hAnsi="MS Gothic" w:cs="MS Gothic"/>
          <w:sz w:val="24"/>
        </w:rPr>
        <w:t>➢</w:t>
      </w:r>
      <w:r>
        <w:rPr>
          <w:rFonts w:ascii="MS Gothic" w:eastAsia="MS Gothic" w:hAnsi="MS Gothic" w:cs="MS Gothic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Secondary Grades  </w:t>
      </w:r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57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ELA</w:t>
        </w:r>
      </w:hyperlink>
      <w:hyperlink r:id="rId58">
        <w:r>
          <w:rPr>
            <w:rFonts w:ascii="Times New Roman" w:eastAsia="Times New Roman" w:hAnsi="Times New Roman" w:cs="Times New Roman"/>
            <w:color w:val="1155CC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lastRenderedPageBreak/>
        <w:t xml:space="preserve">○ </w:t>
      </w:r>
      <w:hyperlink r:id="rId59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Math</w:t>
        </w:r>
      </w:hyperlink>
      <w:hyperlink r:id="rId60">
        <w:r>
          <w:rPr>
            <w:rFonts w:ascii="Times New Roman" w:eastAsia="Times New Roman" w:hAnsi="Times New Roman" w:cs="Times New Roman"/>
            <w:color w:val="1155CC"/>
            <w:sz w:val="24"/>
          </w:rPr>
          <w:t xml:space="preserve"> </w:t>
        </w:r>
      </w:hyperlink>
      <w:hyperlink r:id="rId6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62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Biolo</w:t>
        </w:r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gy</w:t>
        </w:r>
      </w:hyperlink>
      <w:hyperlink r:id="rId6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64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Chemistry</w:t>
        </w:r>
      </w:hyperlink>
      <w:hyperlink r:id="rId6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66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Earth and Space Science</w:t>
        </w:r>
      </w:hyperlink>
      <w:hyperlink r:id="rId6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68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General Science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650" w:rsidRDefault="0006506D">
      <w:pPr>
        <w:spacing w:after="68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69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Physics</w:t>
        </w:r>
      </w:hyperlink>
      <w:hyperlink r:id="rId7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36"/>
        <w:ind w:left="1075" w:hanging="10"/>
      </w:pPr>
      <w:r>
        <w:rPr>
          <w:rFonts w:ascii="Arial" w:eastAsia="Arial" w:hAnsi="Arial" w:cs="Arial"/>
          <w:sz w:val="24"/>
        </w:rPr>
        <w:t xml:space="preserve">○ </w:t>
      </w:r>
      <w:hyperlink r:id="rId71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Spanish</w:t>
        </w:r>
      </w:hyperlink>
      <w:hyperlink r:id="rId7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CA7650" w:rsidRDefault="0006506D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7650" w:rsidRDefault="0006506D">
      <w:pPr>
        <w:spacing w:after="311"/>
        <w:ind w:left="-5" w:right="23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ETS has also partnered with Khan Academy to create additional Praxis preparation materials, available at: </w:t>
      </w:r>
      <w:hyperlink r:id="rId73">
        <w:r>
          <w:rPr>
            <w:rFonts w:ascii="Times New Roman" w:eastAsia="Times New Roman" w:hAnsi="Times New Roman" w:cs="Times New Roman"/>
            <w:color w:val="1155CC"/>
            <w:sz w:val="24"/>
            <w:u w:val="single" w:color="1155CC"/>
          </w:rPr>
          <w:t>https://www.khanacademy.org/prep/praxis-core/overview</w:t>
        </w:r>
      </w:hyperlink>
      <w:hyperlink r:id="rId74">
        <w:r>
          <w:rPr>
            <w:rFonts w:ascii="Times New Roman" w:eastAsia="Times New Roman" w:hAnsi="Times New Roman" w:cs="Times New Roman"/>
            <w:i/>
            <w:color w:val="5A5A5A"/>
            <w:sz w:val="24"/>
          </w:rPr>
          <w:t xml:space="preserve"> </w:t>
        </w:r>
      </w:hyperlink>
    </w:p>
    <w:p w:rsidR="00CA7650" w:rsidRDefault="0006506D">
      <w:pPr>
        <w:spacing w:after="0" w:line="283" w:lineRule="auto"/>
      </w:pPr>
      <w:r>
        <w:rPr>
          <w:rFonts w:ascii="Times New Roman" w:eastAsia="Times New Roman" w:hAnsi="Times New Roman" w:cs="Times New Roman"/>
          <w:i/>
        </w:rPr>
        <w:t xml:space="preserve">Please note The School District of Philadelphia does not author or edit the exams and, therefore, cannot answer any questions or be responsible for any possible errors contained within. </w:t>
      </w:r>
      <w:r>
        <w:rPr>
          <w:rFonts w:ascii="Times New Roman" w:eastAsia="Times New Roman" w:hAnsi="Times New Roman" w:cs="Times New Roman"/>
          <w:i/>
          <w:color w:val="5A5A5A"/>
        </w:rPr>
        <w:t xml:space="preserve"> </w:t>
      </w:r>
    </w:p>
    <w:p w:rsidR="00CA7650" w:rsidRDefault="0006506D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CA7650">
      <w:pgSz w:w="12240" w:h="15840"/>
      <w:pgMar w:top="135" w:right="660" w:bottom="14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50"/>
    <w:rsid w:val="0006506D"/>
    <w:rsid w:val="00CA7650"/>
    <w:rsid w:val="00D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0053"/>
  <w15:docId w15:val="{EC35090A-1507-47EA-A279-8E717C8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80" w:hanging="10"/>
      <w:jc w:val="center"/>
      <w:outlineLvl w:val="0"/>
    </w:pPr>
    <w:rPr>
      <w:rFonts w:ascii="Times New Roman" w:eastAsia="Times New Roman" w:hAnsi="Times New Roman" w:cs="Times New Roman"/>
      <w:b/>
      <w:color w:val="2F549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2F5496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ts.org/praxis/prepare/materials/5038" TargetMode="External"/><Relationship Id="rId21" Type="http://schemas.openxmlformats.org/officeDocument/2006/relationships/hyperlink" Target="https://www.ets.org/praxis/prepare/materials/5571" TargetMode="External"/><Relationship Id="rId42" Type="http://schemas.openxmlformats.org/officeDocument/2006/relationships/hyperlink" Target="https://www.ets.org/praxis/test_day/policies/calculators" TargetMode="External"/><Relationship Id="rId47" Type="http://schemas.openxmlformats.org/officeDocument/2006/relationships/hyperlink" Target="https://www.ets.org/s/cv/praxis/at-home/" TargetMode="External"/><Relationship Id="rId63" Type="http://schemas.openxmlformats.org/officeDocument/2006/relationships/hyperlink" Target="https://www.ets.org/s/praxis/pdf/5235.pdf" TargetMode="External"/><Relationship Id="rId68" Type="http://schemas.openxmlformats.org/officeDocument/2006/relationships/hyperlink" Target="https://www.ets.org/s/praxis/pdf/543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s.org/praxis/test_day/policies/calculators" TargetMode="External"/><Relationship Id="rId29" Type="http://schemas.openxmlformats.org/officeDocument/2006/relationships/hyperlink" Target="https://www.ets.org/praxis/prepare/materials/5435" TargetMode="External"/><Relationship Id="rId11" Type="http://schemas.openxmlformats.org/officeDocument/2006/relationships/hyperlink" Target="https://www.ets.org/praxis/test_day/policies/calculators" TargetMode="External"/><Relationship Id="rId24" Type="http://schemas.openxmlformats.org/officeDocument/2006/relationships/hyperlink" Target="https://www.ets.org/praxis/prepare/materials/5571" TargetMode="External"/><Relationship Id="rId32" Type="http://schemas.openxmlformats.org/officeDocument/2006/relationships/hyperlink" Target="https://www.ets.org/praxis/test_day/policies/calculators" TargetMode="External"/><Relationship Id="rId37" Type="http://schemas.openxmlformats.org/officeDocument/2006/relationships/hyperlink" Target="https://www.ets.org/praxis/prepare/materials/5195" TargetMode="External"/><Relationship Id="rId40" Type="http://schemas.openxmlformats.org/officeDocument/2006/relationships/hyperlink" Target="https://www.ets.org/praxis/prepare/materials/5152" TargetMode="External"/><Relationship Id="rId45" Type="http://schemas.openxmlformats.org/officeDocument/2006/relationships/hyperlink" Target="https://www.ets.org/praxis/test_day/policies/calculators" TargetMode="External"/><Relationship Id="rId53" Type="http://schemas.openxmlformats.org/officeDocument/2006/relationships/hyperlink" Target="https://www.ets.org/s/praxis/pdf/5158.pdf" TargetMode="External"/><Relationship Id="rId58" Type="http://schemas.openxmlformats.org/officeDocument/2006/relationships/hyperlink" Target="https://www.ets.org/s/praxis/pdf/5038.pdf" TargetMode="External"/><Relationship Id="rId66" Type="http://schemas.openxmlformats.org/officeDocument/2006/relationships/hyperlink" Target="https://www.ets.org/s/praxis/pdf/5571.pdf" TargetMode="External"/><Relationship Id="rId74" Type="http://schemas.openxmlformats.org/officeDocument/2006/relationships/hyperlink" Target="https://www.khanacademy.org/prep/praxis-core/overview" TargetMode="External"/><Relationship Id="rId5" Type="http://schemas.openxmlformats.org/officeDocument/2006/relationships/hyperlink" Target="https://www.ets.org/praxis/prepare/materials/5156" TargetMode="External"/><Relationship Id="rId61" Type="http://schemas.openxmlformats.org/officeDocument/2006/relationships/hyperlink" Target="https://www.ets.org/s/praxis/pdf/5161.pdf" TargetMode="External"/><Relationship Id="rId19" Type="http://schemas.openxmlformats.org/officeDocument/2006/relationships/hyperlink" Target="https://www.ets.org/praxis/prepare/materials/5245" TargetMode="External"/><Relationship Id="rId14" Type="http://schemas.openxmlformats.org/officeDocument/2006/relationships/hyperlink" Target="https://www.ets.org/praxis/test_day/policies/calculators" TargetMode="External"/><Relationship Id="rId22" Type="http://schemas.openxmlformats.org/officeDocument/2006/relationships/hyperlink" Target="https://www.ets.org/praxis/prepare/materials/5571" TargetMode="External"/><Relationship Id="rId27" Type="http://schemas.openxmlformats.org/officeDocument/2006/relationships/hyperlink" Target="https://www.ets.org/praxis/prepare/materials/5038" TargetMode="External"/><Relationship Id="rId30" Type="http://schemas.openxmlformats.org/officeDocument/2006/relationships/hyperlink" Target="https://www.ets.org/praxis/prepare/materials/5435" TargetMode="External"/><Relationship Id="rId35" Type="http://schemas.openxmlformats.org/officeDocument/2006/relationships/hyperlink" Target="https://www.ets.org/praxis/prepare/materials/5265" TargetMode="External"/><Relationship Id="rId43" Type="http://schemas.openxmlformats.org/officeDocument/2006/relationships/hyperlink" Target="https://www.ets.org/praxis/test_day/policies/calculators" TargetMode="External"/><Relationship Id="rId48" Type="http://schemas.openxmlformats.org/officeDocument/2006/relationships/hyperlink" Target="https://www.ets.org/s/cv/praxis/at-home/" TargetMode="External"/><Relationship Id="rId56" Type="http://schemas.openxmlformats.org/officeDocument/2006/relationships/hyperlink" Target="https://www.ets.org/s/praxis/pdf/5159.pdf" TargetMode="External"/><Relationship Id="rId64" Type="http://schemas.openxmlformats.org/officeDocument/2006/relationships/hyperlink" Target="https://www.ets.org/s/praxis/pdf/5245.pdf" TargetMode="External"/><Relationship Id="rId69" Type="http://schemas.openxmlformats.org/officeDocument/2006/relationships/hyperlink" Target="https://www.ets.org/s/praxis/pdf/5265.pdf" TargetMode="External"/><Relationship Id="rId8" Type="http://schemas.openxmlformats.org/officeDocument/2006/relationships/hyperlink" Target="https://www.ets.org/praxis/prepare/materials/5158" TargetMode="External"/><Relationship Id="rId51" Type="http://schemas.openxmlformats.org/officeDocument/2006/relationships/hyperlink" Target="http://www.ets.org/" TargetMode="External"/><Relationship Id="rId72" Type="http://schemas.openxmlformats.org/officeDocument/2006/relationships/hyperlink" Target="https://www.ets.org/s/praxis/pdf/519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ets.org/praxis/prepare/materials/5159" TargetMode="External"/><Relationship Id="rId17" Type="http://schemas.openxmlformats.org/officeDocument/2006/relationships/hyperlink" Target="https://www.ets.org/praxis/prepare/materials/5235" TargetMode="External"/><Relationship Id="rId25" Type="http://schemas.openxmlformats.org/officeDocument/2006/relationships/hyperlink" Target="https://www.ets.org/praxis/prepare/materials/5038" TargetMode="External"/><Relationship Id="rId33" Type="http://schemas.openxmlformats.org/officeDocument/2006/relationships/hyperlink" Target="https://www.ets.org/praxis/test_day/policies/calculators" TargetMode="External"/><Relationship Id="rId38" Type="http://schemas.openxmlformats.org/officeDocument/2006/relationships/image" Target="media/image1.jpg"/><Relationship Id="rId46" Type="http://schemas.openxmlformats.org/officeDocument/2006/relationships/hyperlink" Target="https://www.ets.org/praxis/prepare/materials/5511" TargetMode="External"/><Relationship Id="rId59" Type="http://schemas.openxmlformats.org/officeDocument/2006/relationships/hyperlink" Target="https://www.ets.org/s/praxis/pdf/5161.pdf" TargetMode="External"/><Relationship Id="rId67" Type="http://schemas.openxmlformats.org/officeDocument/2006/relationships/hyperlink" Target="https://www.ets.org/s/praxis/pdf/5571.pdf" TargetMode="External"/><Relationship Id="rId20" Type="http://schemas.openxmlformats.org/officeDocument/2006/relationships/hyperlink" Target="https://www.ets.org/praxis/prepare/materials/5245" TargetMode="External"/><Relationship Id="rId41" Type="http://schemas.openxmlformats.org/officeDocument/2006/relationships/hyperlink" Target="https://www.ets.org/praxis/test_day/policies/calculators" TargetMode="External"/><Relationship Id="rId54" Type="http://schemas.openxmlformats.org/officeDocument/2006/relationships/hyperlink" Target="https://www.ets.org/s/praxis/pdf/5158.pdf" TargetMode="External"/><Relationship Id="rId62" Type="http://schemas.openxmlformats.org/officeDocument/2006/relationships/hyperlink" Target="https://www.ets.org/s/praxis/pdf/5235.pdf" TargetMode="External"/><Relationship Id="rId70" Type="http://schemas.openxmlformats.org/officeDocument/2006/relationships/hyperlink" Target="https://www.ets.org/s/praxis/pdf/5265.pd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ts.org/praxis/prepare/materials/5156" TargetMode="External"/><Relationship Id="rId15" Type="http://schemas.openxmlformats.org/officeDocument/2006/relationships/hyperlink" Target="https://www.ets.org/praxis/test_day/policies/calculators" TargetMode="External"/><Relationship Id="rId23" Type="http://schemas.openxmlformats.org/officeDocument/2006/relationships/hyperlink" Target="https://www.ets.org/praxis/prepare/materials/5571" TargetMode="External"/><Relationship Id="rId28" Type="http://schemas.openxmlformats.org/officeDocument/2006/relationships/hyperlink" Target="https://www.ets.org/praxis/prepare/materials/5038" TargetMode="External"/><Relationship Id="rId36" Type="http://schemas.openxmlformats.org/officeDocument/2006/relationships/hyperlink" Target="https://www.ets.org/praxis/prepare/materials/5265" TargetMode="External"/><Relationship Id="rId49" Type="http://schemas.openxmlformats.org/officeDocument/2006/relationships/hyperlink" Target="http://www.ets.org/" TargetMode="External"/><Relationship Id="rId57" Type="http://schemas.openxmlformats.org/officeDocument/2006/relationships/hyperlink" Target="https://www.ets.org/s/praxis/pdf/5038.pdf" TargetMode="External"/><Relationship Id="rId10" Type="http://schemas.openxmlformats.org/officeDocument/2006/relationships/hyperlink" Target="https://www.ets.org/praxis/test_day/policies/calculators" TargetMode="External"/><Relationship Id="rId31" Type="http://schemas.openxmlformats.org/officeDocument/2006/relationships/hyperlink" Target="https://www.ets.org/praxis/prepare/materials/5161" TargetMode="External"/><Relationship Id="rId44" Type="http://schemas.openxmlformats.org/officeDocument/2006/relationships/hyperlink" Target="https://www.ets.org/praxis/test_day/policies/calculators" TargetMode="External"/><Relationship Id="rId52" Type="http://schemas.openxmlformats.org/officeDocument/2006/relationships/hyperlink" Target="https://www.ets.org/s/praxis/pdf/5156.pdf" TargetMode="External"/><Relationship Id="rId60" Type="http://schemas.openxmlformats.org/officeDocument/2006/relationships/hyperlink" Target="https://www.ets.org/s/praxis/pdf/5161.pdf" TargetMode="External"/><Relationship Id="rId65" Type="http://schemas.openxmlformats.org/officeDocument/2006/relationships/hyperlink" Target="https://www.ets.org/s/praxis/pdf/5245.pdf" TargetMode="External"/><Relationship Id="rId73" Type="http://schemas.openxmlformats.org/officeDocument/2006/relationships/hyperlink" Target="https://www.khanacademy.org/prep/praxis-core/overview" TargetMode="External"/><Relationship Id="rId4" Type="http://schemas.openxmlformats.org/officeDocument/2006/relationships/hyperlink" Target="https://www.ets.org/praxis/prepare/materials/5156" TargetMode="External"/><Relationship Id="rId9" Type="http://schemas.openxmlformats.org/officeDocument/2006/relationships/hyperlink" Target="https://www.ets.org/praxis/test_day/policies/calculators" TargetMode="External"/><Relationship Id="rId13" Type="http://schemas.openxmlformats.org/officeDocument/2006/relationships/hyperlink" Target="https://www.ets.org/praxis/prepare/materials/5159" TargetMode="External"/><Relationship Id="rId18" Type="http://schemas.openxmlformats.org/officeDocument/2006/relationships/hyperlink" Target="https://www.ets.org/praxis/prepare/materials/5235" TargetMode="External"/><Relationship Id="rId39" Type="http://schemas.openxmlformats.org/officeDocument/2006/relationships/hyperlink" Target="https://www.ets.org/praxis/prepare/materials/5152" TargetMode="External"/><Relationship Id="rId34" Type="http://schemas.openxmlformats.org/officeDocument/2006/relationships/hyperlink" Target="https://www.ets.org/praxis/test_day/policies/calculators" TargetMode="External"/><Relationship Id="rId50" Type="http://schemas.openxmlformats.org/officeDocument/2006/relationships/hyperlink" Target="http://www.ets.org/" TargetMode="External"/><Relationship Id="rId55" Type="http://schemas.openxmlformats.org/officeDocument/2006/relationships/hyperlink" Target="https://www.ets.org/s/praxis/pdf/5159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ets.org/praxis/prepare/materials/5156" TargetMode="External"/><Relationship Id="rId71" Type="http://schemas.openxmlformats.org/officeDocument/2006/relationships/hyperlink" Target="https://www.ets.org/s/praxis/pdf/519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 Perez (Recruitment &amp; Staffing)</dc:creator>
  <cp:keywords/>
  <cp:lastModifiedBy>Meka Perez (Recruitment &amp; Staffing)</cp:lastModifiedBy>
  <cp:revision>2</cp:revision>
  <dcterms:created xsi:type="dcterms:W3CDTF">2021-09-17T14:46:00Z</dcterms:created>
  <dcterms:modified xsi:type="dcterms:W3CDTF">2021-09-17T14:46:00Z</dcterms:modified>
</cp:coreProperties>
</file>