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(Culinary)</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Michele Eagan</w:t>
              <w:br w:type="textWrapping"/>
            </w:r>
            <w:hyperlink r:id="rId8">
              <w:r w:rsidDel="00000000" w:rsidR="00000000" w:rsidRPr="00000000">
                <w:rPr>
                  <w:color w:val="1155cc"/>
                  <w:sz w:val="22"/>
                  <w:szCs w:val="22"/>
                  <w:u w:val="single"/>
                  <w:rtl w:val="0"/>
                </w:rPr>
                <w:t xml:space="preserve">meagan@philasd.org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Culinary program. The goal of the position is to provide equity and access to all Culinary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June and will end in November. The Culinary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meagan@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