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heading=h.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(Digital Media Production)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8">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Dr. Lakita Costner</w:t>
              <w:br w:type="textWrapping"/>
            </w:r>
            <w:hyperlink r:id="rId9">
              <w:r w:rsidDel="00000000" w:rsidR="00000000" w:rsidRPr="00000000">
                <w:rPr>
                  <w:color w:val="1155cc"/>
                  <w:sz w:val="22"/>
                  <w:szCs w:val="22"/>
                  <w:u w:val="single"/>
                  <w:rtl w:val="0"/>
                </w:rPr>
                <w:t xml:space="preserve">lcostner@philasd.org</w:t>
              </w:r>
            </w:hyperlink>
            <w:r w:rsidDel="00000000" w:rsidR="00000000" w:rsidRPr="00000000">
              <w:rPr>
                <w:sz w:val="22"/>
                <w:szCs w:val="22"/>
                <w:rtl w:val="0"/>
              </w:rPr>
              <w:t xml:space="preserve">  </w:t>
              <w:br w:type="textWrapping"/>
              <w:t xml:space="preserve">Samuel Yun</w:t>
              <w:br w:type="textWrapping"/>
            </w:r>
            <w:hyperlink r:id="rId10">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May 2024 -  August 2024</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5/15/2024</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Digital Media Production (DMP) - 10.9999 program. The goal of the position is to provide equity and access to all DMP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1"/>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r w:rsidDel="00000000" w:rsidR="00000000" w:rsidRPr="00000000">
              <w:rPr>
                <w:rtl w:val="0"/>
              </w:rPr>
            </w:r>
          </w:p>
          <w:p w:rsidR="00000000" w:rsidDel="00000000" w:rsidP="00000000" w:rsidRDefault="00000000" w:rsidRPr="00000000" w14:paraId="00000021">
            <w:pPr>
              <w:numPr>
                <w:ilvl w:val="0"/>
                <w:numId w:val="1"/>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r w:rsidDel="00000000" w:rsidR="00000000" w:rsidRPr="00000000">
              <w:rPr>
                <w:rtl w:val="0"/>
              </w:rPr>
            </w:r>
          </w:p>
          <w:p w:rsidR="00000000" w:rsidDel="00000000" w:rsidP="00000000" w:rsidRDefault="00000000" w:rsidRPr="00000000" w14:paraId="00000022">
            <w:pPr>
              <w:numPr>
                <w:ilvl w:val="0"/>
                <w:numId w:val="1"/>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r w:rsidDel="00000000" w:rsidR="00000000" w:rsidRPr="00000000">
              <w:rPr>
                <w:rtl w:val="0"/>
              </w:rPr>
            </w:r>
          </w:p>
          <w:p w:rsidR="00000000" w:rsidDel="00000000" w:rsidP="00000000" w:rsidRDefault="00000000" w:rsidRPr="00000000" w14:paraId="00000023">
            <w:pPr>
              <w:numPr>
                <w:ilvl w:val="0"/>
                <w:numId w:val="1"/>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r w:rsidDel="00000000" w:rsidR="00000000" w:rsidRPr="00000000">
              <w:rPr>
                <w:rtl w:val="0"/>
              </w:rPr>
            </w:r>
          </w:p>
          <w:p w:rsidR="00000000" w:rsidDel="00000000" w:rsidP="00000000" w:rsidRDefault="00000000" w:rsidRPr="00000000" w14:paraId="00000024">
            <w:pPr>
              <w:numPr>
                <w:ilvl w:val="0"/>
                <w:numId w:val="1"/>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r w:rsidDel="00000000" w:rsidR="00000000" w:rsidRPr="00000000">
              <w:rPr>
                <w:rtl w:val="0"/>
              </w:rPr>
            </w:r>
          </w:p>
          <w:p w:rsidR="00000000" w:rsidDel="00000000" w:rsidP="00000000" w:rsidRDefault="00000000" w:rsidRPr="00000000" w14:paraId="00000025">
            <w:pPr>
              <w:numPr>
                <w:ilvl w:val="0"/>
                <w:numId w:val="1"/>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r w:rsidDel="00000000" w:rsidR="00000000" w:rsidRPr="00000000">
              <w:rPr>
                <w:rtl w:val="0"/>
              </w:rPr>
            </w:r>
          </w:p>
          <w:p w:rsidR="00000000" w:rsidDel="00000000" w:rsidP="00000000" w:rsidRDefault="00000000" w:rsidRPr="00000000" w14:paraId="00000026">
            <w:pPr>
              <w:numPr>
                <w:ilvl w:val="0"/>
                <w:numId w:val="1"/>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r w:rsidDel="00000000" w:rsidR="00000000" w:rsidRPr="00000000">
              <w:rPr>
                <w:rtl w:val="0"/>
              </w:rPr>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assesAccountingnts (checklists, rubrics, quizzes, tests, review materials, etc…)</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4"/>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r w:rsidDel="00000000" w:rsidR="00000000" w:rsidRPr="00000000">
              <w:rPr>
                <w:rtl w:val="0"/>
              </w:rPr>
            </w:r>
          </w:p>
          <w:p w:rsidR="00000000" w:rsidDel="00000000" w:rsidP="00000000" w:rsidRDefault="00000000" w:rsidRPr="00000000" w14:paraId="00000030">
            <w:pPr>
              <w:numPr>
                <w:ilvl w:val="0"/>
                <w:numId w:val="4"/>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r w:rsidDel="00000000" w:rsidR="00000000" w:rsidRPr="00000000">
              <w:rPr>
                <w:rtl w:val="0"/>
              </w:rPr>
            </w:r>
          </w:p>
          <w:p w:rsidR="00000000" w:rsidDel="00000000" w:rsidP="00000000" w:rsidRDefault="00000000" w:rsidRPr="00000000" w14:paraId="00000031">
            <w:pPr>
              <w:numPr>
                <w:ilvl w:val="0"/>
                <w:numId w:val="4"/>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r w:rsidDel="00000000" w:rsidR="00000000" w:rsidRPr="00000000">
              <w:rPr>
                <w:rtl w:val="0"/>
              </w:rPr>
            </w:r>
          </w:p>
          <w:p w:rsidR="00000000" w:rsidDel="00000000" w:rsidP="00000000" w:rsidRDefault="00000000" w:rsidRPr="00000000" w14:paraId="00000032">
            <w:pPr>
              <w:numPr>
                <w:ilvl w:val="0"/>
                <w:numId w:val="4"/>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r w:rsidDel="00000000" w:rsidR="00000000" w:rsidRPr="00000000">
              <w:rPr>
                <w:rtl w:val="0"/>
              </w:rPr>
            </w:r>
          </w:p>
          <w:p w:rsidR="00000000" w:rsidDel="00000000" w:rsidP="00000000" w:rsidRDefault="00000000" w:rsidRPr="00000000" w14:paraId="00000033">
            <w:pPr>
              <w:numPr>
                <w:ilvl w:val="0"/>
                <w:numId w:val="4"/>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r w:rsidDel="00000000" w:rsidR="00000000" w:rsidRPr="00000000">
              <w:rPr>
                <w:rtl w:val="0"/>
              </w:rPr>
            </w:r>
          </w:p>
          <w:p w:rsidR="00000000" w:rsidDel="00000000" w:rsidP="00000000" w:rsidRDefault="00000000" w:rsidRPr="00000000" w14:paraId="00000034">
            <w:pPr>
              <w:numPr>
                <w:ilvl w:val="0"/>
                <w:numId w:val="4"/>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r w:rsidDel="00000000" w:rsidR="00000000" w:rsidRPr="00000000">
              <w:rPr>
                <w:rtl w:val="0"/>
              </w:rPr>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May and will end in August. The DMP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1">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2">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2"/>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2"/>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2"/>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2"/>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syun@philasd.org" TargetMode="External"/><Relationship Id="rId13" Type="http://schemas.openxmlformats.org/officeDocument/2006/relationships/header" Target="header1.xml"/><Relationship Id="rId12" Type="http://schemas.openxmlformats.org/officeDocument/2006/relationships/hyperlink" Target="mailto:miguzman@phila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ostner@philasd.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novello@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x+XIuKmlzoJxLPyEFs2/eTpnqQ==">CgMxLjAyCGguZ2pkZ3hzOAByITFUQ01qclMtOG41Uk85QmEtVGFmSXQ4N3dRa3Fra0JLMA==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